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50" w:lineRule="auto"/>
        <w:ind w:left="0" w:right="0"/>
        <w:jc w:val="both"/>
        <w:rPr>
          <w:rFonts w:hint="eastAsia"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kern w:val="2"/>
          <w:sz w:val="28"/>
          <w:szCs w:val="28"/>
          <w:lang w:val="en-US" w:eastAsia="zh-CN" w:bidi="ar"/>
        </w:rPr>
        <w:t>附件1：</w:t>
      </w:r>
    </w:p>
    <w:p>
      <w:pPr>
        <w:keepNext w:val="0"/>
        <w:keepLines w:val="0"/>
        <w:widowControl w:val="0"/>
        <w:suppressLineNumbers w:val="0"/>
        <w:spacing w:before="0" w:beforeAutospacing="0" w:after="0" w:afterAutospacing="0" w:line="350" w:lineRule="auto"/>
        <w:ind w:left="0" w:right="0" w:firstLine="57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32"/>
          <w:szCs w:val="32"/>
          <w:lang w:val="en-US" w:eastAsia="zh-CN" w:bidi="ar"/>
        </w:rPr>
        <w:t>南充科技职业学院</w:t>
      </w:r>
    </w:p>
    <w:p>
      <w:pPr>
        <w:keepNext w:val="0"/>
        <w:keepLines w:val="0"/>
        <w:widowControl w:val="0"/>
        <w:suppressLineNumbers w:val="0"/>
        <w:spacing w:before="0" w:beforeAutospacing="0" w:after="0" w:afterAutospacing="0" w:line="350" w:lineRule="auto"/>
        <w:ind w:left="0" w:right="0" w:firstLine="57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32"/>
          <w:szCs w:val="32"/>
          <w:lang w:val="en-US" w:eastAsia="zh-CN" w:bidi="ar"/>
        </w:rPr>
        <w:t>2021年教师教学能力大赛方案</w:t>
      </w:r>
    </w:p>
    <w:p>
      <w:pPr>
        <w:keepNext w:val="0"/>
        <w:keepLines w:val="0"/>
        <w:widowControl w:val="0"/>
        <w:suppressLineNumbers w:val="0"/>
        <w:spacing w:before="0" w:beforeAutospacing="0" w:after="0" w:afterAutospacing="0" w:line="350" w:lineRule="auto"/>
        <w:ind w:left="0" w:right="0" w:firstLine="570"/>
        <w:jc w:val="center"/>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350" w:lineRule="auto"/>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一、指导思想</w:t>
      </w:r>
    </w:p>
    <w:p>
      <w:pPr>
        <w:keepNext w:val="0"/>
        <w:keepLines w:val="0"/>
        <w:widowControl/>
        <w:suppressLineNumbers w:val="0"/>
        <w:spacing w:before="0" w:beforeAutospacing="0" w:after="0" w:afterAutospacing="0" w:line="350" w:lineRule="auto"/>
        <w:ind w:left="0" w:right="0" w:firstLine="560" w:firstLineChars="200"/>
        <w:jc w:val="left"/>
        <w:rPr>
          <w:sz w:val="28"/>
          <w:szCs w:val="28"/>
          <w:lang w:val="en-US"/>
        </w:rPr>
      </w:pPr>
      <w:r>
        <w:rPr>
          <w:rFonts w:hint="eastAsia" w:ascii="仿宋_GB2312" w:hAnsi="宋体" w:eastAsia="仿宋_GB2312" w:cs="仿宋_GB2312"/>
          <w:color w:val="000000"/>
          <w:kern w:val="0"/>
          <w:sz w:val="28"/>
          <w:szCs w:val="28"/>
          <w:lang w:val="en-US" w:eastAsia="zh-CN" w:bidi="ar"/>
        </w:rPr>
        <w:t>以习近平新时代中国特色社会主义思想为指导，全面深入贯彻党中央、国务院关于职业教育改革的决策部署和四川省关于职业教育改革的政策举措，通过“以赛促教、以赛促学、以赛促改、以赛促建”，着力推进我校教学方式方法改革，助推我校特色专业建设和课程建设，全面提升我校教师队伍素质，构建学校教学质量提升的良好生态。</w:t>
      </w:r>
    </w:p>
    <w:p>
      <w:pPr>
        <w:keepNext w:val="0"/>
        <w:keepLines w:val="0"/>
        <w:widowControl w:val="0"/>
        <w:suppressLineNumbers w:val="0"/>
        <w:spacing w:before="0" w:beforeAutospacing="0" w:after="0" w:afterAutospacing="0" w:line="350" w:lineRule="auto"/>
        <w:ind w:left="0" w:right="0" w:firstLine="562" w:firstLineChars="200"/>
        <w:jc w:val="both"/>
        <w:rPr>
          <w:rFonts w:hint="eastAsia" w:ascii="仿宋" w:hAnsi="仿宋" w:eastAsia="仿宋" w:cs="Times New Roman"/>
          <w:b/>
          <w:bCs w:val="0"/>
          <w:sz w:val="28"/>
          <w:szCs w:val="28"/>
          <w:lang w:val="en-US"/>
        </w:rPr>
      </w:pPr>
      <w:r>
        <w:rPr>
          <w:rFonts w:hint="eastAsia" w:ascii="仿宋" w:hAnsi="仿宋" w:eastAsia="仿宋" w:cs="Times New Roman"/>
          <w:b/>
          <w:bCs w:val="0"/>
          <w:kern w:val="2"/>
          <w:sz w:val="28"/>
          <w:szCs w:val="28"/>
          <w:lang w:val="en-US" w:eastAsia="zh-CN" w:bidi="ar"/>
        </w:rPr>
        <w:t>二、比赛安排</w:t>
      </w:r>
    </w:p>
    <w:p>
      <w:pPr>
        <w:keepNext w:val="0"/>
        <w:keepLines w:val="0"/>
        <w:widowControl w:val="0"/>
        <w:suppressLineNumbers w:val="0"/>
        <w:spacing w:before="0" w:beforeAutospacing="0" w:after="0" w:afterAutospacing="0" w:line="350" w:lineRule="auto"/>
        <w:ind w:left="0" w:right="0" w:firstLine="562" w:firstLineChars="200"/>
        <w:jc w:val="both"/>
        <w:rPr>
          <w:rFonts w:hint="eastAsia" w:ascii="仿宋" w:hAnsi="仿宋" w:eastAsia="仿宋" w:cs="Times New Roman"/>
          <w:b/>
          <w:sz w:val="28"/>
          <w:szCs w:val="28"/>
          <w:lang w:val="en-US"/>
        </w:rPr>
      </w:pPr>
      <w:r>
        <w:rPr>
          <w:rFonts w:hint="eastAsia" w:ascii="仿宋" w:hAnsi="仿宋" w:eastAsia="仿宋" w:cs="Times New Roman"/>
          <w:b/>
          <w:kern w:val="2"/>
          <w:sz w:val="28"/>
          <w:szCs w:val="28"/>
          <w:lang w:val="en-US" w:eastAsia="zh-CN" w:bidi="ar"/>
        </w:rPr>
        <w:t>1.比赛要求</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color w:val="auto"/>
          <w:kern w:val="2"/>
          <w:sz w:val="28"/>
          <w:szCs w:val="28"/>
          <w:lang w:val="en-US" w:eastAsia="zh-CN" w:bidi="ar"/>
        </w:rPr>
        <w:t>本次比赛采取团体赛的方式举行，以教学团队报名参赛；其中说专业、说课程由教学团队推举1名进行现场说专业和课程。</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color w:val="auto"/>
          <w:kern w:val="2"/>
          <w:sz w:val="28"/>
          <w:szCs w:val="28"/>
          <w:lang w:val="en-US" w:eastAsia="zh-CN" w:bidi="ar"/>
        </w:rPr>
        <w:t>（1）项目1：对接省赛、国赛要求，重点考察教学团队（2—4人）针对某门课程中部分教学内容完成教学设计、实施课堂教学、评价目标达成、进行反思改进的能力。</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FF0000"/>
          <w:kern w:val="2"/>
          <w:sz w:val="28"/>
          <w:szCs w:val="28"/>
          <w:lang w:val="en-US"/>
        </w:rPr>
      </w:pPr>
      <w:r>
        <w:rPr>
          <w:rFonts w:hint="eastAsia" w:ascii="仿宋" w:hAnsi="仿宋" w:eastAsia="仿宋" w:cs="Times New Roman"/>
          <w:color w:val="auto"/>
          <w:kern w:val="2"/>
          <w:sz w:val="28"/>
          <w:szCs w:val="28"/>
          <w:lang w:val="en-US" w:eastAsia="zh-CN" w:bidi="ar"/>
        </w:rPr>
        <w:t>（2）项目2：以四川省高职院校人才评估工作为指南，重点考察相关专业建设和课程建设的情况。</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2" w:firstLineChars="200"/>
        <w:jc w:val="left"/>
        <w:rPr>
          <w:rFonts w:hint="eastAsia" w:ascii="仿宋" w:hAnsi="仿宋" w:eastAsia="仿宋" w:cs="Times New Roman"/>
          <w:b/>
          <w:color w:val="auto"/>
          <w:kern w:val="2"/>
          <w:sz w:val="28"/>
          <w:szCs w:val="28"/>
          <w:lang w:val="en-US"/>
        </w:rPr>
      </w:pPr>
      <w:r>
        <w:rPr>
          <w:rFonts w:hint="eastAsia" w:ascii="仿宋" w:hAnsi="仿宋" w:eastAsia="仿宋" w:cs="Times New Roman"/>
          <w:b/>
          <w:color w:val="auto"/>
          <w:kern w:val="2"/>
          <w:sz w:val="28"/>
          <w:szCs w:val="28"/>
          <w:lang w:val="en-US" w:eastAsia="zh-CN" w:bidi="ar"/>
        </w:rPr>
        <w:t>2.比赛内容</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color w:val="FF0000"/>
          <w:kern w:val="2"/>
          <w:sz w:val="28"/>
          <w:szCs w:val="28"/>
          <w:lang w:val="en-US" w:eastAsia="zh-CN" w:bidi="ar"/>
        </w:rPr>
        <w:t>（1）项目1：资料准备</w:t>
      </w:r>
      <w:r>
        <w:rPr>
          <w:rFonts w:hint="default" w:ascii="Arial" w:hAnsi="Arial" w:eastAsia="仿宋" w:cs="Arial"/>
          <w:color w:val="FF0000"/>
          <w:kern w:val="2"/>
          <w:sz w:val="28"/>
          <w:szCs w:val="28"/>
          <w:lang w:val="en-US" w:eastAsia="zh-CN" w:bidi="ar"/>
        </w:rPr>
        <w:t>→</w:t>
      </w:r>
      <w:r>
        <w:rPr>
          <w:rFonts w:hint="eastAsia" w:ascii="仿宋" w:hAnsi="仿宋" w:eastAsia="仿宋" w:cs="Times New Roman"/>
          <w:color w:val="FF0000"/>
          <w:kern w:val="2"/>
          <w:sz w:val="28"/>
          <w:szCs w:val="28"/>
          <w:lang w:val="en-US" w:eastAsia="zh-CN" w:bidi="ar"/>
        </w:rPr>
        <w:t>资料提交</w:t>
      </w:r>
      <w:r>
        <w:rPr>
          <w:rFonts w:hint="default" w:ascii="Arial" w:hAnsi="Arial" w:eastAsia="仿宋" w:cs="Arial"/>
          <w:color w:val="FF0000"/>
          <w:kern w:val="2"/>
          <w:sz w:val="28"/>
          <w:szCs w:val="28"/>
          <w:lang w:val="en-US" w:eastAsia="zh-CN" w:bidi="ar"/>
        </w:rPr>
        <w:t>→</w:t>
      </w:r>
      <w:r>
        <w:rPr>
          <w:rFonts w:hint="eastAsia" w:ascii="仿宋" w:hAnsi="仿宋" w:eastAsia="仿宋" w:cs="Times New Roman"/>
          <w:color w:val="FF0000"/>
          <w:kern w:val="2"/>
          <w:sz w:val="28"/>
          <w:szCs w:val="28"/>
          <w:lang w:val="en-US" w:eastAsia="zh-CN" w:bidi="ar"/>
        </w:rPr>
        <w:t>学校现场评审</w:t>
      </w:r>
      <w:r>
        <w:rPr>
          <w:rFonts w:hint="default" w:ascii="Arial" w:hAnsi="Arial" w:eastAsia="仿宋" w:cs="Arial"/>
          <w:color w:val="FF0000"/>
          <w:kern w:val="2"/>
          <w:sz w:val="28"/>
          <w:szCs w:val="28"/>
          <w:lang w:val="en-US" w:eastAsia="zh-CN" w:bidi="ar"/>
        </w:rPr>
        <w:t>→</w:t>
      </w:r>
      <w:r>
        <w:rPr>
          <w:rFonts w:hint="eastAsia" w:ascii="仿宋" w:hAnsi="仿宋" w:eastAsia="仿宋" w:cs="Times New Roman"/>
          <w:color w:val="FF0000"/>
          <w:kern w:val="2"/>
          <w:sz w:val="28"/>
          <w:szCs w:val="28"/>
          <w:lang w:val="en-US" w:eastAsia="zh-CN" w:bidi="ar"/>
        </w:rPr>
        <w:t>省赛</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840" w:firstLineChars="300"/>
        <w:jc w:val="left"/>
        <w:rPr>
          <w:rFonts w:hint="eastAsia" w:ascii="仿宋" w:hAnsi="仿宋" w:eastAsia="仿宋" w:cs="Times New Roman"/>
          <w:color w:val="auto"/>
          <w:kern w:val="2"/>
          <w:sz w:val="28"/>
          <w:szCs w:val="28"/>
          <w:lang w:val="en-US"/>
        </w:rPr>
      </w:pPr>
      <w:r>
        <w:rPr>
          <w:rFonts w:hint="eastAsia" w:ascii="仿宋" w:hAnsi="仿宋" w:eastAsia="仿宋" w:cs="仿宋"/>
          <w:color w:val="auto"/>
          <w:kern w:val="2"/>
          <w:sz w:val="28"/>
          <w:szCs w:val="28"/>
          <w:lang w:val="en-US" w:eastAsia="zh-CN" w:bidi="ar"/>
        </w:rPr>
        <w:t>①</w:t>
      </w:r>
      <w:r>
        <w:rPr>
          <w:rFonts w:hint="eastAsia" w:ascii="仿宋" w:hAnsi="仿宋" w:eastAsia="仿宋" w:cs="Times New Roman"/>
          <w:color w:val="auto"/>
          <w:kern w:val="2"/>
          <w:sz w:val="28"/>
          <w:szCs w:val="28"/>
          <w:lang w:val="en-US" w:eastAsia="zh-CN" w:bidi="ar"/>
        </w:rPr>
        <w:t>教学资料初评：各教学单位对本单位提交的教学资料（教案、教学实施报告、人才培养方案、课程标准、教学视频），进行初审，择优选择3个团队的教学资料交教务处统一组织评审。</w:t>
      </w:r>
    </w:p>
    <w:p>
      <w:pPr>
        <w:keepNext w:val="0"/>
        <w:keepLines w:val="0"/>
        <w:widowControl w:val="0"/>
        <w:suppressLineNumbers w:val="0"/>
        <w:spacing w:before="0" w:beforeAutospacing="0" w:after="0" w:afterAutospacing="0" w:line="350" w:lineRule="auto"/>
        <w:ind w:left="0" w:right="0" w:firstLine="560" w:firstLineChars="200"/>
        <w:jc w:val="both"/>
        <w:rPr>
          <w:rFonts w:hint="eastAsia" w:ascii="仿宋" w:hAnsi="仿宋" w:eastAsia="仿宋" w:cs="Times New Roman"/>
          <w:sz w:val="28"/>
          <w:szCs w:val="28"/>
          <w:lang w:val="en-US"/>
        </w:rPr>
      </w:pPr>
      <w:r>
        <w:rPr>
          <w:rFonts w:hint="eastAsia" w:ascii="仿宋" w:hAnsi="仿宋" w:eastAsia="仿宋" w:cs="仿宋"/>
          <w:kern w:val="2"/>
          <w:sz w:val="28"/>
          <w:szCs w:val="28"/>
          <w:lang w:val="en-US" w:eastAsia="zh-CN" w:bidi="ar"/>
        </w:rPr>
        <w:t>②</w:t>
      </w:r>
      <w:r>
        <w:rPr>
          <w:rFonts w:hint="eastAsia" w:ascii="仿宋" w:hAnsi="仿宋" w:eastAsia="仿宋" w:cs="Times New Roman"/>
          <w:kern w:val="2"/>
          <w:sz w:val="28"/>
          <w:szCs w:val="28"/>
          <w:lang w:val="en-US" w:eastAsia="zh-CN" w:bidi="ar"/>
        </w:rPr>
        <w:t>现场教学评审。教务处组织校内外专家，并按照省赛的要求，对各教学单位上报的教学资料进行现场教学评审。</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FF0000"/>
          <w:kern w:val="2"/>
          <w:sz w:val="28"/>
          <w:szCs w:val="28"/>
          <w:lang w:val="en-US"/>
        </w:rPr>
      </w:pPr>
      <w:r>
        <w:rPr>
          <w:rFonts w:hint="eastAsia" w:ascii="仿宋" w:hAnsi="仿宋" w:eastAsia="仿宋" w:cs="Times New Roman"/>
          <w:color w:val="FF0000"/>
          <w:kern w:val="2"/>
          <w:sz w:val="28"/>
          <w:szCs w:val="28"/>
          <w:lang w:val="en-US" w:eastAsia="zh-CN" w:bidi="ar"/>
        </w:rPr>
        <w:t>项目2：资料提交（说专业/课程课件、文字稿）</w:t>
      </w:r>
      <w:r>
        <w:rPr>
          <w:rFonts w:hint="default" w:ascii="Arial" w:hAnsi="Arial" w:eastAsia="仿宋" w:cs="Arial"/>
          <w:color w:val="FF0000"/>
          <w:kern w:val="2"/>
          <w:sz w:val="28"/>
          <w:szCs w:val="28"/>
          <w:lang w:val="en-US" w:eastAsia="zh-CN" w:bidi="ar"/>
        </w:rPr>
        <w:t>→</w:t>
      </w:r>
      <w:r>
        <w:rPr>
          <w:rFonts w:hint="eastAsia" w:ascii="仿宋" w:hAnsi="仿宋" w:eastAsia="仿宋" w:cs="Times New Roman"/>
          <w:color w:val="FF0000"/>
          <w:kern w:val="2"/>
          <w:sz w:val="28"/>
          <w:szCs w:val="28"/>
          <w:lang w:val="en-US" w:eastAsia="zh-CN" w:bidi="ar"/>
        </w:rPr>
        <w:t>学校现场评审</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仿宋"/>
          <w:color w:val="auto"/>
          <w:kern w:val="2"/>
          <w:sz w:val="28"/>
          <w:szCs w:val="28"/>
          <w:lang w:val="en-US" w:eastAsia="zh-CN" w:bidi="ar"/>
        </w:rPr>
        <w:t>①</w:t>
      </w:r>
      <w:r>
        <w:rPr>
          <w:rFonts w:hint="eastAsia" w:ascii="仿宋" w:hAnsi="仿宋" w:eastAsia="仿宋" w:cs="Times New Roman"/>
          <w:color w:val="auto"/>
          <w:kern w:val="2"/>
          <w:sz w:val="28"/>
          <w:szCs w:val="28"/>
          <w:lang w:val="en-US" w:eastAsia="zh-CN" w:bidi="ar"/>
        </w:rPr>
        <w:t>说专业。各专业安排1名教师进行说专业展示，教务处组织校内外专家进行评审；每个专业均安排1位老师。</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仿宋"/>
          <w:color w:val="000000"/>
          <w:kern w:val="0"/>
          <w:sz w:val="28"/>
          <w:szCs w:val="28"/>
          <w:lang w:val="en-US" w:eastAsia="zh-CN" w:bidi="ar"/>
        </w:rPr>
        <w:t>②</w:t>
      </w:r>
      <w:r>
        <w:rPr>
          <w:rFonts w:hint="eastAsia" w:ascii="仿宋" w:hAnsi="仿宋" w:eastAsia="仿宋" w:cs="Times New Roman"/>
          <w:color w:val="auto"/>
          <w:kern w:val="2"/>
          <w:sz w:val="28"/>
          <w:szCs w:val="28"/>
          <w:lang w:val="en-US" w:eastAsia="zh-CN" w:bidi="ar"/>
        </w:rPr>
        <w:t>说课程。各专业安排2名教师（专业基础课、专业核心课程个1名）进行说课程展示，教务处组织校内外专家进行评审；思政部（公共部）每门课程各安排1名教师进行说课展示。</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2"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b/>
          <w:color w:val="auto"/>
          <w:kern w:val="2"/>
          <w:sz w:val="28"/>
          <w:szCs w:val="28"/>
          <w:lang w:val="en-US" w:eastAsia="zh-CN" w:bidi="ar"/>
        </w:rPr>
        <w:t>3.比赛资料要求</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color w:val="auto"/>
          <w:kern w:val="2"/>
          <w:sz w:val="28"/>
          <w:szCs w:val="28"/>
          <w:lang w:val="en-US" w:eastAsia="zh-CN" w:bidi="ar"/>
        </w:rPr>
        <w:t>（1）教案准备。公共课程准备不低于12学时的连续、完整的教学内容，专业课程准备不低于16学时的连续、完整的教学内容；具体要求见省赛通知附件1、3.</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color w:val="auto"/>
          <w:kern w:val="2"/>
          <w:sz w:val="28"/>
          <w:szCs w:val="28"/>
          <w:lang w:val="en-US" w:eastAsia="zh-CN" w:bidi="ar"/>
        </w:rPr>
        <w:t>（2）教学视频录制。根据各课程准备的教案，准备3-4段课堂实录视频，原则上每位成员不少于1段，每段时长8-15分钟，总时间控制在35-40分钟；具体要求见省赛通知附件1、3.</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color w:val="auto"/>
          <w:kern w:val="2"/>
          <w:sz w:val="28"/>
          <w:szCs w:val="28"/>
          <w:lang w:val="en-US" w:eastAsia="zh-CN" w:bidi="ar"/>
        </w:rPr>
        <w:t>（3）说专业资料。说专业要从行业背景、人才需求、培养规格、培养模式、专业特色、课程建设、实践教学、团队教学、教学质量等方面，有针对性地进行专业剖析。</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color w:val="auto"/>
          <w:kern w:val="2"/>
          <w:sz w:val="28"/>
          <w:szCs w:val="28"/>
          <w:lang w:val="en-US" w:eastAsia="zh-CN" w:bidi="ar"/>
        </w:rPr>
        <w:t>（4）说课程资料。说课程要从课程性质、课程设置要求与人才培养、课程主要内容、教学策略与实施现状、课程建设与教学改革等方面，有针对性地剖析课程与专业人才培养契合情况。</w:t>
      </w:r>
    </w:p>
    <w:p>
      <w:pPr>
        <w:pStyle w:val="3"/>
        <w:keepNext w:val="0"/>
        <w:keepLines w:val="0"/>
        <w:widowControl w:val="0"/>
        <w:suppressLineNumbers w:val="0"/>
        <w:autoSpaceDE w:val="0"/>
        <w:autoSpaceDN w:val="0"/>
        <w:adjustRightInd w:val="0"/>
        <w:spacing w:before="0" w:beforeAutospacing="0" w:after="0" w:afterAutospacing="0" w:line="350" w:lineRule="auto"/>
        <w:ind w:left="0" w:right="0" w:firstLine="560" w:firstLineChars="200"/>
        <w:jc w:val="left"/>
        <w:rPr>
          <w:rFonts w:hint="eastAsia" w:ascii="仿宋" w:hAnsi="仿宋" w:eastAsia="仿宋" w:cs="Times New Roman"/>
          <w:color w:val="auto"/>
          <w:kern w:val="2"/>
          <w:sz w:val="28"/>
          <w:szCs w:val="28"/>
          <w:lang w:val="en-US"/>
        </w:rPr>
      </w:pPr>
      <w:r>
        <w:rPr>
          <w:rFonts w:hint="eastAsia" w:ascii="仿宋" w:hAnsi="仿宋" w:eastAsia="仿宋" w:cs="Times New Roman"/>
          <w:color w:val="auto"/>
          <w:kern w:val="2"/>
          <w:sz w:val="28"/>
          <w:szCs w:val="28"/>
          <w:lang w:val="en-US" w:eastAsia="zh-CN" w:bidi="ar"/>
        </w:rPr>
        <w:t>特别提醒：各项目评分指标见省赛通知附件7.</w:t>
      </w:r>
    </w:p>
    <w:p>
      <w:pPr>
        <w:keepNext w:val="0"/>
        <w:keepLines w:val="0"/>
        <w:widowControl w:val="0"/>
        <w:suppressLineNumbers w:val="0"/>
        <w:spacing w:before="0" w:beforeAutospacing="0" w:after="0" w:afterAutospacing="0" w:line="35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Times New Roman"/>
          <w:b/>
          <w:kern w:val="2"/>
          <w:sz w:val="28"/>
          <w:szCs w:val="28"/>
          <w:lang w:val="en-US" w:eastAsia="zh-CN" w:bidi="ar"/>
        </w:rPr>
        <w:t xml:space="preserve"> </w:t>
      </w:r>
      <w:r>
        <w:rPr>
          <w:rFonts w:hint="eastAsia" w:ascii="仿宋" w:hAnsi="仿宋" w:eastAsia="仿宋" w:cs="仿宋"/>
          <w:b/>
          <w:kern w:val="2"/>
          <w:sz w:val="28"/>
          <w:szCs w:val="28"/>
          <w:lang w:val="en-US" w:eastAsia="zh-CN" w:bidi="ar"/>
        </w:rPr>
        <w:t>5.时间安排：3月16日-4月26日</w:t>
      </w:r>
    </w:p>
    <w:p>
      <w:pPr>
        <w:keepNext w:val="0"/>
        <w:keepLines w:val="0"/>
        <w:widowControl w:val="0"/>
        <w:suppressLineNumbers w:val="0"/>
        <w:spacing w:before="0" w:beforeAutospacing="0" w:after="0" w:afterAutospacing="0" w:line="350" w:lineRule="auto"/>
        <w:ind w:left="0" w:right="0" w:firstLine="570"/>
        <w:jc w:val="both"/>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t>（1）3月16日-20日：</w:t>
      </w:r>
      <w:r>
        <w:rPr>
          <w:rFonts w:hint="eastAsia" w:ascii="仿宋" w:hAnsi="仿宋" w:eastAsia="仿宋" w:cs="仿宋"/>
          <w:kern w:val="2"/>
          <w:sz w:val="28"/>
          <w:szCs w:val="28"/>
          <w:lang w:val="en-US" w:eastAsia="zh-CN" w:bidi="ar"/>
        </w:rPr>
        <w:t>各教学单位组织教研室认真研读教育厅文件，筹建参赛队伍，策划参赛课程，准备参赛资料，</w:t>
      </w:r>
      <w:r>
        <w:rPr>
          <w:rFonts w:hint="eastAsia" w:ascii="仿宋" w:hAnsi="仿宋" w:eastAsia="仿宋" w:cs="仿宋"/>
          <w:color w:val="FF0000"/>
          <w:kern w:val="2"/>
          <w:sz w:val="28"/>
          <w:szCs w:val="28"/>
          <w:lang w:val="en-US" w:eastAsia="zh-CN" w:bidi="ar"/>
        </w:rPr>
        <w:t>并将参赛报名表于3月20日前</w:t>
      </w:r>
      <w:r>
        <w:rPr>
          <w:rFonts w:hint="eastAsia" w:ascii="仿宋" w:hAnsi="仿宋" w:eastAsia="仿宋" w:cs="仿宋"/>
          <w:kern w:val="2"/>
          <w:sz w:val="28"/>
          <w:szCs w:val="28"/>
          <w:lang w:val="en-US" w:eastAsia="zh-CN" w:bidi="ar"/>
        </w:rPr>
        <w:t>发送至教务处张文琪老师邮箱：</w:t>
      </w:r>
      <w:r>
        <w:rPr>
          <w:rFonts w:hint="eastAsia" w:ascii="仿宋" w:hAnsi="仿宋" w:eastAsia="仿宋" w:cs="Times New Roman"/>
          <w:kern w:val="2"/>
          <w:sz w:val="28"/>
          <w:szCs w:val="28"/>
          <w:lang w:val="en-US" w:eastAsia="zh-CN" w:bidi="ar"/>
        </w:rPr>
        <w:t>3699680620@163.com</w:t>
      </w:r>
      <w:r>
        <w:rPr>
          <w:rFonts w:hint="eastAsia" w:ascii="仿宋" w:hAnsi="仿宋" w:eastAsia="仿宋" w:cs="仿宋"/>
          <w:kern w:val="2"/>
          <w:sz w:val="28"/>
          <w:szCs w:val="28"/>
          <w:lang w:val="en-US" w:eastAsia="zh-CN" w:bidi="ar"/>
        </w:rPr>
        <w:t>。教学团队报名汇总表见附件1-1、说专业与课程报名汇总表见附件1-2、公共课说课程报名汇总表见附件1-3.</w:t>
      </w:r>
    </w:p>
    <w:p>
      <w:pPr>
        <w:keepNext w:val="0"/>
        <w:keepLines w:val="0"/>
        <w:widowControl w:val="0"/>
        <w:suppressLineNumbers w:val="0"/>
        <w:spacing w:before="0" w:beforeAutospacing="0" w:after="0" w:afterAutospacing="0" w:line="350" w:lineRule="auto"/>
        <w:ind w:left="0" w:right="0" w:firstLine="560" w:firstLineChars="200"/>
        <w:jc w:val="both"/>
        <w:rPr>
          <w:rFonts w:hint="eastAsia" w:ascii="仿宋" w:hAnsi="仿宋" w:eastAsia="仿宋" w:cs="Times New Roman"/>
          <w:sz w:val="28"/>
          <w:szCs w:val="28"/>
          <w:lang w:val="en-US"/>
        </w:rPr>
      </w:pPr>
      <w:r>
        <w:rPr>
          <w:rFonts w:hint="eastAsia" w:ascii="仿宋" w:hAnsi="仿宋" w:eastAsia="仿宋" w:cs="Times New Roman"/>
          <w:kern w:val="2"/>
          <w:sz w:val="28"/>
          <w:szCs w:val="28"/>
          <w:lang w:val="en-US" w:eastAsia="zh-CN" w:bidi="ar"/>
        </w:rPr>
        <w:t>（2）3月21日-4月20日：完成录像等资料提交。4月20日前，各教学单位以“XX课程（专业）”文件夹命名，统一将提交至教务处张文琪老师处（建议U盘拷贝）。资料包括：教案、教学视频、人才培养方案、课程标准、教学实施报告，说专业PPT及文字稿、说课程PPT及文字稿（文字材料均用PDF格式）。</w:t>
      </w:r>
    </w:p>
    <w:p>
      <w:pPr>
        <w:keepNext w:val="0"/>
        <w:keepLines w:val="0"/>
        <w:widowControl w:val="0"/>
        <w:suppressLineNumbers w:val="0"/>
        <w:spacing w:before="0" w:beforeAutospacing="0" w:after="0" w:afterAutospacing="0" w:line="350" w:lineRule="auto"/>
        <w:ind w:left="0" w:right="0" w:firstLine="560" w:firstLineChars="200"/>
        <w:jc w:val="both"/>
        <w:rPr>
          <w:rFonts w:hint="eastAsia" w:ascii="仿宋" w:hAnsi="仿宋" w:eastAsia="仿宋" w:cs="Times New Roman"/>
          <w:sz w:val="28"/>
          <w:szCs w:val="28"/>
          <w:lang w:val="en-US"/>
        </w:rPr>
      </w:pPr>
      <w:r>
        <w:rPr>
          <w:rFonts w:hint="eastAsia" w:ascii="仿宋" w:hAnsi="仿宋" w:eastAsia="仿宋" w:cs="Times New Roman"/>
          <w:kern w:val="2"/>
          <w:sz w:val="28"/>
          <w:szCs w:val="28"/>
          <w:lang w:val="en-US" w:eastAsia="zh-CN" w:bidi="ar"/>
        </w:rPr>
        <w:t>（3）4月21-24日：专家评审，评出各级奖项。4月21-22日为现场教学展示时间，4月23-24日为说专业、说课程展示时间。</w:t>
      </w:r>
    </w:p>
    <w:p>
      <w:pPr>
        <w:keepNext w:val="0"/>
        <w:keepLines w:val="0"/>
        <w:widowControl w:val="0"/>
        <w:suppressLineNumbers w:val="0"/>
        <w:spacing w:before="0" w:beforeAutospacing="0" w:after="0" w:afterAutospacing="0" w:line="350" w:lineRule="auto"/>
        <w:ind w:left="0" w:right="0" w:firstLine="560" w:firstLineChars="200"/>
        <w:jc w:val="both"/>
        <w:rPr>
          <w:rFonts w:hint="eastAsia" w:ascii="仿宋" w:hAnsi="仿宋" w:eastAsia="仿宋" w:cs="Times New Roman"/>
          <w:sz w:val="28"/>
          <w:szCs w:val="28"/>
          <w:lang w:val="en-US"/>
        </w:rPr>
      </w:pPr>
      <w:r>
        <w:rPr>
          <w:rFonts w:hint="eastAsia" w:ascii="仿宋" w:hAnsi="仿宋" w:eastAsia="仿宋" w:cs="Times New Roman"/>
          <w:kern w:val="2"/>
          <w:sz w:val="28"/>
          <w:szCs w:val="28"/>
          <w:lang w:val="en-US" w:eastAsia="zh-CN" w:bidi="ar"/>
        </w:rPr>
        <w:t>（4）4月26日-5月15日：根据校赛获奖情况和省赛要求，推荐参加省赛的教学团队。</w:t>
      </w:r>
    </w:p>
    <w:p>
      <w:pPr>
        <w:keepNext w:val="0"/>
        <w:keepLines w:val="0"/>
        <w:widowControl w:val="0"/>
        <w:suppressLineNumbers w:val="0"/>
        <w:overflowPunct w:val="0"/>
        <w:spacing w:before="0" w:beforeAutospacing="0" w:after="0" w:afterAutospacing="0" w:line="350" w:lineRule="auto"/>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三、奖励办法</w:t>
      </w:r>
    </w:p>
    <w:p>
      <w:pPr>
        <w:keepNext w:val="0"/>
        <w:keepLines w:val="0"/>
        <w:widowControl w:val="0"/>
        <w:suppressLineNumbers w:val="0"/>
        <w:spacing w:before="0" w:beforeAutospacing="0" w:after="0" w:afterAutospacing="0" w:line="35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1.教学展示各组分别设置：一等奖1名、二等奖1名、三等奖1名，发放获奖证书和奖金。</w:t>
      </w:r>
    </w:p>
    <w:p>
      <w:pPr>
        <w:keepNext w:val="0"/>
        <w:keepLines w:val="0"/>
        <w:widowControl w:val="0"/>
        <w:suppressLineNumbers w:val="0"/>
        <w:spacing w:before="0" w:beforeAutospacing="0" w:after="0" w:afterAutospacing="0" w:line="35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2.说专业合计设置：一等奖1名、二等奖1名、三等奖2名，发放获奖证书和奖金。</w:t>
      </w:r>
    </w:p>
    <w:p>
      <w:pPr>
        <w:keepNext w:val="0"/>
        <w:keepLines w:val="0"/>
        <w:widowControl w:val="0"/>
        <w:suppressLineNumbers w:val="0"/>
        <w:spacing w:before="0" w:beforeAutospacing="0" w:after="0" w:afterAutospacing="0" w:line="35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3.说课程合计设置：一等奖1名、二等奖2名、三等奖3名，发放获奖证书和奖金。</w:t>
      </w:r>
    </w:p>
    <w:p>
      <w:pPr>
        <w:keepNext w:val="0"/>
        <w:keepLines w:val="0"/>
        <w:widowControl w:val="0"/>
        <w:suppressLineNumbers w:val="0"/>
        <w:spacing w:before="0" w:beforeAutospacing="0" w:after="0" w:afterAutospacing="0" w:line="35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4.对比赛组织工作好、竞赛成绩优秀的教学单位，颁发“教师教学能力比赛组织工作先进集体”奖牌。</w:t>
      </w:r>
    </w:p>
    <w:p>
      <w:pPr>
        <w:keepNext w:val="0"/>
        <w:keepLines w:val="0"/>
        <w:widowControl w:val="0"/>
        <w:suppressLineNumbers w:val="0"/>
        <w:overflowPunct w:val="0"/>
        <w:spacing w:before="0" w:beforeAutospacing="0" w:after="0" w:afterAutospacing="0" w:line="35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四、其他</w:t>
      </w:r>
    </w:p>
    <w:p>
      <w:pPr>
        <w:keepNext w:val="0"/>
        <w:keepLines w:val="0"/>
        <w:widowControl/>
        <w:suppressLineNumbers w:val="0"/>
        <w:spacing w:before="0" w:beforeAutospacing="0" w:after="0" w:afterAutospacing="0" w:line="350" w:lineRule="auto"/>
        <w:ind w:left="0" w:right="0" w:firstLine="560" w:firstLineChars="200"/>
        <w:jc w:val="left"/>
        <w:rPr>
          <w:sz w:val="28"/>
          <w:szCs w:val="28"/>
          <w:lang w:val="en-US"/>
        </w:rPr>
      </w:pPr>
      <w:r>
        <w:rPr>
          <w:rFonts w:hint="eastAsia" w:ascii="仿宋" w:hAnsi="仿宋" w:eastAsia="仿宋" w:cs="仿宋"/>
          <w:kern w:val="2"/>
          <w:sz w:val="28"/>
          <w:szCs w:val="28"/>
          <w:lang w:val="en-US" w:eastAsia="zh-CN" w:bidi="ar"/>
        </w:rPr>
        <w:t>1.鼓励教师采用线上线下混合式教学。</w:t>
      </w:r>
      <w:r>
        <w:rPr>
          <w:rFonts w:hint="eastAsia" w:ascii="仿宋_GB2312" w:hAnsi="宋体" w:eastAsia="仿宋_GB2312" w:cs="仿宋_GB2312"/>
          <w:color w:val="000000"/>
          <w:kern w:val="0"/>
          <w:sz w:val="28"/>
          <w:szCs w:val="28"/>
          <w:lang w:val="en-US" w:eastAsia="zh-CN" w:bidi="ar"/>
        </w:rPr>
        <w:t xml:space="preserve">教学团队可选用免费提供的国家职业教育专业教学资源库、国家级精品资源共享课、职业学校企业生产实际教学案例库等相关教学资源进行教学设计和实际教学，相关资源可从比赛教学资源支持平台（智慧职教 </w:t>
      </w:r>
      <w:r>
        <w:rPr>
          <w:rFonts w:hint="default" w:ascii="Times New Roman" w:hAnsi="Times New Roman" w:eastAsia="宋体" w:cs="Times New Roman"/>
          <w:color w:val="000000"/>
          <w:kern w:val="0"/>
          <w:sz w:val="28"/>
          <w:szCs w:val="28"/>
          <w:lang w:val="en-US" w:eastAsia="zh-CN" w:bidi="ar"/>
        </w:rPr>
        <w:t>www.icve.com.cn</w:t>
      </w:r>
      <w:r>
        <w:rPr>
          <w:rFonts w:hint="eastAsia" w:ascii="仿宋_GB2312" w:hAnsi="宋体" w:eastAsia="仿宋_GB2312" w:cs="仿宋_GB2312"/>
          <w:color w:val="000000"/>
          <w:kern w:val="0"/>
          <w:sz w:val="28"/>
          <w:szCs w:val="28"/>
          <w:lang w:val="en-US" w:eastAsia="zh-CN" w:bidi="ar"/>
        </w:rPr>
        <w:t>、爱课程网</w:t>
      </w:r>
      <w:r>
        <w:rPr>
          <w:rFonts w:hint="default" w:ascii="Times New Roman" w:hAnsi="Times New Roman" w:eastAsia="宋体" w:cs="Times New Roman"/>
          <w:color w:val="000000"/>
          <w:kern w:val="0"/>
          <w:sz w:val="28"/>
          <w:szCs w:val="28"/>
          <w:lang w:val="en-US" w:eastAsia="zh-CN" w:bidi="ar"/>
        </w:rPr>
        <w:t>www.icourses.cn</w:t>
      </w:r>
      <w:r>
        <w:rPr>
          <w:rFonts w:hint="eastAsia" w:ascii="仿宋_GB2312" w:hAnsi="宋体" w:eastAsia="仿宋_GB2312" w:cs="仿宋_GB2312"/>
          <w:color w:val="000000"/>
          <w:kern w:val="0"/>
          <w:sz w:val="28"/>
          <w:szCs w:val="28"/>
          <w:lang w:val="en-US" w:eastAsia="zh-CN" w:bidi="ar"/>
        </w:rPr>
        <w:t xml:space="preserve">）获取，或登录比赛官方网站有关链接。 </w:t>
      </w:r>
    </w:p>
    <w:p>
      <w:pPr>
        <w:keepNext w:val="0"/>
        <w:keepLines w:val="0"/>
        <w:widowControl w:val="0"/>
        <w:suppressLineNumbers w:val="0"/>
        <w:overflowPunct w:val="0"/>
        <w:spacing w:before="0" w:beforeAutospacing="0" w:after="0" w:afterAutospacing="0" w:line="35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2.其他未尽事宜请与教务处陈刚联系，联系电话：13548193884. </w:t>
      </w:r>
    </w:p>
    <w:p>
      <w:pPr>
        <w:keepNext w:val="0"/>
        <w:keepLines w:val="0"/>
        <w:widowControl w:val="0"/>
        <w:suppressLineNumbers w:val="0"/>
        <w:overflowPunct w:val="0"/>
        <w:spacing w:before="0" w:beforeAutospacing="0" w:after="0" w:afterAutospacing="0" w:line="44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rPr>
          <w:rFonts w:hint="eastAsia" w:ascii="仿宋" w:hAnsi="仿宋" w:eastAsia="仿宋" w:cs="仿宋"/>
          <w:b/>
          <w:color w:val="000000"/>
          <w:sz w:val="28"/>
          <w:szCs w:val="28"/>
          <w:lang w:val="en-US" w:eastAsia="zh-CN" w:bidi="ar"/>
        </w:rPr>
        <w:sectPr>
          <w:pgSz w:w="11906" w:h="16838"/>
          <w:pgMar w:top="1440" w:right="1800" w:bottom="1440" w:left="1800" w:header="851" w:footer="992" w:gutter="0"/>
          <w:paperSrc/>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color w:val="000000"/>
          <w:kern w:val="0"/>
          <w:sz w:val="28"/>
          <w:szCs w:val="28"/>
          <w:lang w:val="en-US" w:bidi="ar"/>
        </w:rPr>
      </w:pPr>
    </w:p>
    <w:tbl>
      <w:tblPr>
        <w:tblStyle w:val="4"/>
        <w:tblW w:w="13515" w:type="dxa"/>
        <w:jc w:val="center"/>
        <w:shd w:val="clear"/>
        <w:tblLayout w:type="fixed"/>
        <w:tblCellMar>
          <w:top w:w="0" w:type="dxa"/>
          <w:left w:w="0" w:type="dxa"/>
          <w:bottom w:w="0" w:type="dxa"/>
          <w:right w:w="0" w:type="dxa"/>
        </w:tblCellMar>
      </w:tblPr>
      <w:tblGrid>
        <w:gridCol w:w="995"/>
        <w:gridCol w:w="1270"/>
        <w:gridCol w:w="1269"/>
        <w:gridCol w:w="1270"/>
        <w:gridCol w:w="1269"/>
        <w:gridCol w:w="1337"/>
        <w:gridCol w:w="1215"/>
        <w:gridCol w:w="1170"/>
        <w:gridCol w:w="1230"/>
        <w:gridCol w:w="2484"/>
      </w:tblGrid>
      <w:tr>
        <w:tblPrEx>
          <w:shd w:val="clear"/>
          <w:tblCellMar>
            <w:top w:w="0" w:type="dxa"/>
            <w:left w:w="0" w:type="dxa"/>
            <w:bottom w:w="0" w:type="dxa"/>
            <w:right w:w="0" w:type="dxa"/>
          </w:tblCellMar>
        </w:tblPrEx>
        <w:trPr>
          <w:trHeight w:val="1320" w:hRule="atLeast"/>
          <w:jc w:val="center"/>
        </w:trPr>
        <w:tc>
          <w:tcPr>
            <w:tcW w:w="13508" w:type="dxa"/>
            <w:gridSpan w:val="10"/>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color w:val="000000"/>
                <w:kern w:val="0"/>
                <w:sz w:val="28"/>
                <w:szCs w:val="28"/>
                <w:bdr w:val="none" w:color="auto" w:sz="0" w:space="0"/>
                <w:lang w:val="en-US" w:bidi="ar"/>
              </w:rPr>
            </w:pPr>
            <w:r>
              <w:rPr>
                <w:rFonts w:hint="eastAsia" w:ascii="仿宋" w:hAnsi="仿宋" w:eastAsia="仿宋" w:cs="仿宋"/>
                <w:b/>
                <w:color w:val="000000"/>
                <w:kern w:val="0"/>
                <w:sz w:val="28"/>
                <w:szCs w:val="28"/>
                <w:bdr w:val="none" w:color="auto" w:sz="0" w:space="0"/>
                <w:lang w:val="en-US" w:eastAsia="zh-CN" w:bidi="ar"/>
              </w:rPr>
              <w:t>附件1-1：</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8"/>
                <w:szCs w:val="28"/>
                <w:bdr w:val="none" w:color="auto" w:sz="0" w:space="0"/>
                <w:lang w:val="en-US"/>
              </w:rPr>
            </w:pPr>
            <w:r>
              <w:rPr>
                <w:rFonts w:hint="eastAsia" w:ascii="仿宋" w:hAnsi="仿宋" w:eastAsia="仿宋" w:cs="仿宋"/>
                <w:color w:val="000000"/>
                <w:kern w:val="0"/>
                <w:sz w:val="32"/>
                <w:szCs w:val="32"/>
                <w:bdr w:val="none" w:color="auto" w:sz="0" w:space="0"/>
                <w:lang w:val="en-US" w:eastAsia="zh-CN" w:bidi="ar"/>
              </w:rPr>
              <w:t>XX学院（部）                                                                           2021教师教学能力大赛参赛汇总表</w:t>
            </w:r>
          </w:p>
        </w:tc>
      </w:tr>
      <w:tr>
        <w:tblPrEx>
          <w:tblCellMar>
            <w:top w:w="0" w:type="dxa"/>
            <w:left w:w="0" w:type="dxa"/>
            <w:bottom w:w="0" w:type="dxa"/>
            <w:right w:w="0" w:type="dxa"/>
          </w:tblCellMar>
        </w:tblPrEx>
        <w:trPr>
          <w:trHeight w:val="270"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序号</w:t>
            </w: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参赛课程</w:t>
            </w: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参赛组别</w:t>
            </w: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所属专业</w:t>
            </w: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专业大类</w:t>
            </w:r>
          </w:p>
        </w:tc>
        <w:tc>
          <w:tcPr>
            <w:tcW w:w="7435" w:type="dxa"/>
            <w:gridSpan w:val="5"/>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参赛教师</w:t>
            </w:r>
          </w:p>
        </w:tc>
      </w:tr>
      <w:tr>
        <w:tblPrEx>
          <w:tblCellMar>
            <w:top w:w="0" w:type="dxa"/>
            <w:left w:w="0" w:type="dxa"/>
            <w:bottom w:w="0" w:type="dxa"/>
            <w:right w:w="0" w:type="dxa"/>
          </w:tblCellMar>
        </w:tblPrEx>
        <w:trPr>
          <w:trHeight w:val="27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姓名</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职务</w:t>
            </w: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职称</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学历</w:t>
            </w: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身份(教师/企业兼职）</w:t>
            </w:r>
          </w:p>
        </w:tc>
      </w:tr>
      <w:tr>
        <w:tblPrEx>
          <w:tblCellMar>
            <w:top w:w="0" w:type="dxa"/>
            <w:left w:w="0" w:type="dxa"/>
            <w:bottom w:w="0" w:type="dxa"/>
            <w:right w:w="0" w:type="dxa"/>
          </w:tblCellMar>
        </w:tblPrEx>
        <w:trPr>
          <w:trHeight w:val="272" w:hRule="exac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2</w:t>
            </w: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3</w:t>
            </w: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4</w:t>
            </w: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2" w:hRule="exac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c>
          <w:tcPr>
            <w:tcW w:w="24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24"/>
                <w:szCs w:val="24"/>
                <w:bdr w:val="none" w:color="auto" w:sz="0" w:space="0"/>
                <w:lang w:val="en-US"/>
              </w:rPr>
            </w:pPr>
          </w:p>
        </w:tc>
      </w:tr>
    </w:tbl>
    <w:p>
      <w:pPr>
        <w:rPr>
          <w:rFonts w:hint="eastAsia" w:ascii="仿宋" w:hAnsi="仿宋" w:eastAsia="仿宋" w:cs="Calibri"/>
          <w:kern w:val="2"/>
          <w:sz w:val="28"/>
          <w:szCs w:val="28"/>
          <w:lang w:val="en-US" w:eastAsia="zh-CN" w:bidi="ar"/>
        </w:rPr>
        <w:sectPr>
          <w:pgSz w:w="16838" w:h="11906" w:orient="landscape"/>
          <w:pgMar w:top="1800" w:right="1440" w:bottom="1800" w:left="1440" w:header="851" w:footer="992" w:gutter="0"/>
          <w:paperSrc/>
          <w:pgNumType w:fmt="numberInDash"/>
          <w:cols w:space="425" w:num="1"/>
          <w:docGrid w:type="lines" w:linePitch="312" w:charSpace="0"/>
        </w:sectPr>
      </w:pPr>
    </w:p>
    <w:tbl>
      <w:tblPr>
        <w:tblStyle w:val="4"/>
        <w:tblW w:w="13530" w:type="dxa"/>
        <w:jc w:val="center"/>
        <w:shd w:val="clear"/>
        <w:tblLayout w:type="fixed"/>
        <w:tblCellMar>
          <w:top w:w="0" w:type="dxa"/>
          <w:left w:w="0" w:type="dxa"/>
          <w:bottom w:w="0" w:type="dxa"/>
          <w:right w:w="0" w:type="dxa"/>
        </w:tblCellMar>
      </w:tblPr>
      <w:tblGrid>
        <w:gridCol w:w="708"/>
        <w:gridCol w:w="1983"/>
        <w:gridCol w:w="1558"/>
        <w:gridCol w:w="2126"/>
        <w:gridCol w:w="2692"/>
        <w:gridCol w:w="1701"/>
        <w:gridCol w:w="2758"/>
      </w:tblGrid>
      <w:tr>
        <w:tblPrEx>
          <w:shd w:val="clear"/>
          <w:tblCellMar>
            <w:top w:w="0" w:type="dxa"/>
            <w:left w:w="0" w:type="dxa"/>
            <w:bottom w:w="0" w:type="dxa"/>
            <w:right w:w="0" w:type="dxa"/>
          </w:tblCellMar>
        </w:tblPrEx>
        <w:trPr>
          <w:trHeight w:val="375" w:hRule="atLeast"/>
          <w:jc w:val="center"/>
        </w:trPr>
        <w:tc>
          <w:tcPr>
            <w:tcW w:w="13532" w:type="dxa"/>
            <w:gridSpan w:val="7"/>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24" w:firstLineChars="44"/>
              <w:jc w:val="both"/>
              <w:textAlignment w:val="center"/>
              <w:rPr>
                <w:rFonts w:hint="eastAsia" w:ascii="仿宋" w:hAnsi="仿宋" w:eastAsia="仿宋" w:cs="仿宋"/>
                <w:b/>
                <w:bCs w:val="0"/>
                <w:color w:val="000000"/>
                <w:kern w:val="0"/>
                <w:sz w:val="28"/>
                <w:szCs w:val="28"/>
                <w:bdr w:val="none" w:color="auto" w:sz="0" w:space="0"/>
                <w:lang w:val="en-US" w:bidi="ar"/>
              </w:rPr>
            </w:pPr>
            <w:r>
              <w:rPr>
                <w:rFonts w:hint="eastAsia" w:ascii="仿宋" w:hAnsi="仿宋" w:eastAsia="仿宋" w:cs="仿宋"/>
                <w:b/>
                <w:bCs w:val="0"/>
                <w:color w:val="000000"/>
                <w:kern w:val="0"/>
                <w:sz w:val="28"/>
                <w:szCs w:val="28"/>
                <w:bdr w:val="none" w:color="auto" w:sz="0" w:space="0"/>
                <w:lang w:val="en-US" w:eastAsia="zh-CN" w:bidi="ar"/>
              </w:rPr>
              <w:t>附件1-2</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Cs/>
                <w:color w:val="000000"/>
                <w:kern w:val="0"/>
                <w:sz w:val="32"/>
                <w:szCs w:val="32"/>
                <w:bdr w:val="none" w:color="auto" w:sz="0" w:space="0"/>
                <w:lang w:val="en-US" w:bidi="ar"/>
              </w:rPr>
            </w:pPr>
            <w:r>
              <w:rPr>
                <w:rFonts w:hint="eastAsia" w:ascii="仿宋" w:hAnsi="仿宋" w:eastAsia="仿宋" w:cs="仿宋"/>
                <w:bCs/>
                <w:color w:val="000000"/>
                <w:kern w:val="0"/>
                <w:sz w:val="32"/>
                <w:szCs w:val="32"/>
                <w:bdr w:val="none" w:color="auto" w:sz="0" w:space="0"/>
                <w:lang w:val="en-US" w:eastAsia="zh-CN" w:bidi="ar"/>
              </w:rPr>
              <w:t xml:space="preserve">XX学院  </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000000"/>
                <w:sz w:val="28"/>
                <w:szCs w:val="28"/>
                <w:bdr w:val="none" w:color="auto" w:sz="0" w:space="0"/>
                <w:lang w:val="en-US"/>
              </w:rPr>
            </w:pPr>
            <w:r>
              <w:rPr>
                <w:rFonts w:hint="eastAsia" w:ascii="仿宋" w:hAnsi="仿宋" w:eastAsia="仿宋" w:cs="仿宋"/>
                <w:bCs/>
                <w:color w:val="000000"/>
                <w:kern w:val="0"/>
                <w:sz w:val="32"/>
                <w:szCs w:val="32"/>
                <w:bdr w:val="none" w:color="auto" w:sz="0" w:space="0"/>
                <w:lang w:val="en-US" w:eastAsia="zh-CN" w:bidi="ar"/>
              </w:rPr>
              <w:t>说专业与说课程报名汇总表</w:t>
            </w:r>
          </w:p>
        </w:tc>
      </w:tr>
      <w:tr>
        <w:tblPrEx>
          <w:tblCellMar>
            <w:top w:w="0" w:type="dxa"/>
            <w:left w:w="0" w:type="dxa"/>
            <w:bottom w:w="0" w:type="dxa"/>
            <w:right w:w="0"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序号</w:t>
            </w:r>
          </w:p>
        </w:tc>
        <w:tc>
          <w:tcPr>
            <w:tcW w:w="19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专业名称</w:t>
            </w:r>
          </w:p>
        </w:tc>
        <w:tc>
          <w:tcPr>
            <w:tcW w:w="15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专业负责人</w:t>
            </w:r>
          </w:p>
        </w:tc>
        <w:tc>
          <w:tcPr>
            <w:tcW w:w="21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说专业教师</w:t>
            </w: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课程名称</w:t>
            </w: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说课程教师</w:t>
            </w: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备注</w:t>
            </w: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1</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30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2</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3</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4</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5</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6</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7</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bl>
    <w:p>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sz w:val="28"/>
          <w:szCs w:val="28"/>
          <w:lang w:val="en-US"/>
        </w:rPr>
      </w:pPr>
    </w:p>
    <w:tbl>
      <w:tblPr>
        <w:tblStyle w:val="4"/>
        <w:tblW w:w="13530" w:type="dxa"/>
        <w:jc w:val="center"/>
        <w:shd w:val="clear"/>
        <w:tblLayout w:type="fixed"/>
        <w:tblCellMar>
          <w:top w:w="0" w:type="dxa"/>
          <w:left w:w="0" w:type="dxa"/>
          <w:bottom w:w="0" w:type="dxa"/>
          <w:right w:w="0" w:type="dxa"/>
        </w:tblCellMar>
      </w:tblPr>
      <w:tblGrid>
        <w:gridCol w:w="708"/>
        <w:gridCol w:w="1983"/>
        <w:gridCol w:w="1558"/>
        <w:gridCol w:w="2126"/>
        <w:gridCol w:w="2692"/>
        <w:gridCol w:w="1701"/>
        <w:gridCol w:w="2758"/>
      </w:tblGrid>
      <w:tr>
        <w:tblPrEx>
          <w:shd w:val="clear"/>
          <w:tblCellMar>
            <w:top w:w="0" w:type="dxa"/>
            <w:left w:w="0" w:type="dxa"/>
            <w:bottom w:w="0" w:type="dxa"/>
            <w:right w:w="0" w:type="dxa"/>
          </w:tblCellMar>
        </w:tblPrEx>
        <w:trPr>
          <w:trHeight w:val="375" w:hRule="atLeast"/>
          <w:jc w:val="center"/>
        </w:trPr>
        <w:tc>
          <w:tcPr>
            <w:tcW w:w="13532" w:type="dxa"/>
            <w:gridSpan w:val="7"/>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24" w:firstLineChars="44"/>
              <w:jc w:val="both"/>
              <w:textAlignment w:val="center"/>
              <w:rPr>
                <w:rFonts w:hint="eastAsia" w:ascii="仿宋" w:hAnsi="仿宋" w:eastAsia="仿宋" w:cs="仿宋"/>
                <w:b/>
                <w:bCs w:val="0"/>
                <w:color w:val="000000"/>
                <w:kern w:val="0"/>
                <w:sz w:val="28"/>
                <w:szCs w:val="28"/>
                <w:bdr w:val="none" w:color="auto" w:sz="0" w:space="0"/>
                <w:lang w:val="en-US" w:bidi="ar"/>
              </w:rPr>
            </w:pPr>
            <w:r>
              <w:rPr>
                <w:rFonts w:hint="eastAsia" w:ascii="仿宋" w:hAnsi="仿宋" w:eastAsia="仿宋" w:cs="仿宋"/>
                <w:b/>
                <w:bCs w:val="0"/>
                <w:color w:val="000000"/>
                <w:kern w:val="0"/>
                <w:sz w:val="28"/>
                <w:szCs w:val="28"/>
                <w:bdr w:val="none" w:color="auto" w:sz="0" w:space="0"/>
                <w:lang w:val="en-US" w:eastAsia="zh-CN" w:bidi="ar"/>
              </w:rPr>
              <w:t>附件1-3</w:t>
            </w:r>
            <w:r>
              <w:rPr>
                <w:rFonts w:hint="eastAsia" w:ascii="仿宋" w:hAnsi="仿宋" w:eastAsia="仿宋" w:cs="仿宋"/>
                <w:b/>
                <w:bCs w:val="0"/>
                <w:color w:val="000000"/>
                <w:kern w:val="2"/>
                <w:sz w:val="28"/>
                <w:szCs w:val="28"/>
                <w:bdr w:val="none" w:color="auto" w:sz="0" w:space="0"/>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000000"/>
                <w:sz w:val="28"/>
                <w:szCs w:val="28"/>
                <w:bdr w:val="none" w:color="auto" w:sz="0" w:space="0"/>
                <w:lang w:val="en-US"/>
              </w:rPr>
            </w:pPr>
            <w:r>
              <w:rPr>
                <w:rFonts w:hint="eastAsia" w:ascii="仿宋" w:hAnsi="仿宋" w:eastAsia="仿宋" w:cs="仿宋"/>
                <w:bCs/>
                <w:color w:val="000000"/>
                <w:kern w:val="0"/>
                <w:sz w:val="32"/>
                <w:szCs w:val="32"/>
                <w:bdr w:val="none" w:color="auto" w:sz="0" w:space="0"/>
                <w:lang w:val="en-US" w:eastAsia="zh-CN" w:bidi="ar"/>
              </w:rPr>
              <w:t>公共课程说课程报名汇总表</w:t>
            </w:r>
          </w:p>
        </w:tc>
      </w:tr>
      <w:tr>
        <w:tblPrEx>
          <w:tblCellMar>
            <w:top w:w="0" w:type="dxa"/>
            <w:left w:w="0" w:type="dxa"/>
            <w:bottom w:w="0" w:type="dxa"/>
            <w:right w:w="0"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序号</w:t>
            </w:r>
          </w:p>
        </w:tc>
        <w:tc>
          <w:tcPr>
            <w:tcW w:w="19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专业名称</w:t>
            </w:r>
          </w:p>
        </w:tc>
        <w:tc>
          <w:tcPr>
            <w:tcW w:w="15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专业负责人</w:t>
            </w:r>
          </w:p>
        </w:tc>
        <w:tc>
          <w:tcPr>
            <w:tcW w:w="21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说专业教师</w:t>
            </w: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课程名称</w:t>
            </w: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说课程教师</w:t>
            </w: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备注</w:t>
            </w: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1</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30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2</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3</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4</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5</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6</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bdr w:val="none" w:color="auto" w:sz="0" w:space="0"/>
                <w:lang w:val="en-US"/>
              </w:rPr>
            </w:pPr>
            <w:r>
              <w:rPr>
                <w:rFonts w:hint="eastAsia" w:ascii="仿宋" w:hAnsi="仿宋" w:eastAsia="仿宋" w:cs="仿宋"/>
                <w:color w:val="000000"/>
                <w:kern w:val="0"/>
                <w:sz w:val="24"/>
                <w:szCs w:val="24"/>
                <w:bdr w:val="none" w:color="auto" w:sz="0" w:space="0"/>
                <w:lang w:val="en-US" w:eastAsia="zh-CN" w:bidi="ar"/>
              </w:rPr>
              <w:t>7</w:t>
            </w:r>
          </w:p>
        </w:tc>
        <w:tc>
          <w:tcPr>
            <w:tcW w:w="198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Calibri" w:hAnsi="Calibri" w:cs="Calibri"/>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17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c>
          <w:tcPr>
            <w:tcW w:w="27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24"/>
                <w:szCs w:val="24"/>
                <w:bdr w:val="none" w:color="auto" w:sz="0" w:space="0"/>
                <w:lang w:val="en-US"/>
              </w:rPr>
            </w:pPr>
          </w:p>
        </w:tc>
      </w:tr>
    </w:tbl>
    <w:p>
      <w:pPr>
        <w:rPr>
          <w:rFonts w:hint="eastAsia" w:ascii="仿宋" w:hAnsi="仿宋" w:eastAsia="仿宋" w:cs="Calibri"/>
          <w:kern w:val="2"/>
          <w:sz w:val="28"/>
          <w:szCs w:val="28"/>
          <w:lang w:val="en-US" w:eastAsia="zh-CN" w:bidi="ar"/>
        </w:rPr>
        <w:sectPr>
          <w:pgSz w:w="16838" w:h="11906" w:orient="landscape"/>
          <w:pgMar w:top="1800" w:right="1440" w:bottom="1800" w:left="1440" w:header="851" w:footer="992" w:gutter="0"/>
          <w:paperSrc/>
          <w:pgNumType w:fmt="numberInDash"/>
          <w:cols w:space="425" w:num="1"/>
          <w:docGrid w:type="lines" w:linePitch="312" w:charSpace="0"/>
        </w:sectPr>
      </w:pPr>
      <w:bookmarkStart w:id="0" w:name="_GoBack"/>
      <w:bookmarkEnd w:id="0"/>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altName w:val="Courier New"/>
    <w:panose1 w:val="00000000000000000000"/>
    <w:charset w:val="00"/>
    <w:family w:val="auto"/>
    <w:pitch w:val="default"/>
    <w:sig w:usb0="00000003" w:usb1="00000000" w:usb2="00000000" w:usb3="00000000" w:csb0="00000001"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简体">
    <w:altName w:val="Arial Unicode MS"/>
    <w:panose1 w:val="00000000000000000000"/>
    <w:charset w:val="86"/>
    <w:family w:val="auto"/>
    <w:pitch w:val="default"/>
    <w:sig w:usb0="00000000"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简体">
    <w:altName w:val="宋体"/>
    <w:panose1 w:val="00000000000000000000"/>
    <w:charset w:val="86"/>
    <w:family w:val="auto"/>
    <w:pitch w:val="default"/>
    <w:sig w:usb0="00000000"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37226"/>
    <w:rsid w:val="212753BF"/>
    <w:rsid w:val="6423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Normal (Web)"/>
    <w:basedOn w:val="1"/>
    <w:uiPriority w:val="0"/>
    <w:rPr>
      <w:sz w:val="24"/>
    </w:rPr>
  </w:style>
  <w:style w:type="paragraph" w:customStyle="1" w:styleId="6">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FZFangSong-Z02S" w:hAnsi="FZFangSong-Z02S" w:eastAsia="宋体" w:cs="FZFangSong-Z02S"/>
      <w:color w:val="000000"/>
      <w:kern w:val="0"/>
      <w:sz w:val="24"/>
      <w:szCs w:val="24"/>
      <w:lang w:val="en-US" w:eastAsia="zh-CN" w:bidi="ar"/>
    </w:rPr>
  </w:style>
  <w:style w:type="character" w:customStyle="1" w:styleId="7">
    <w:name w:val="页脚 Char"/>
    <w:basedOn w:val="5"/>
    <w:link w:val="2"/>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2021-03-18T02:26:00Z</dcterms:created>
  <dc:creator>Administrator</dc:creator>
  <cp:lastModifiedBy>Administrator</cp:lastModifiedBy>
  <dcterms:modified xsi:type="dcterms:W3CDTF">2021-03-18T02:30:21Z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